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MARÍA LEONOR PARRA DE ROA</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PROLACTEOS J.R. S.A.S</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Carrera 69 F 19 A 05</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 4122371 EXT 114</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2021ER37099.</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tcBorders>
              <w:top w:color="000000" w:space="0" w:sz="4" w:val="single"/>
              <w:left w:color="000000" w:space="0" w:sz="4" w:val="single"/>
              <w:bottom w:color="000000" w:space="0" w:sz="4" w:val="single"/>
              <w:right w:color="000000" w:space="0" w:sz="4" w:val="single"/>
            </w:tcBorders>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con el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PROLACTEOS J.R. S.A.S identificada con NIT 800039290-0 y cuya sede inscrita fue la ubicada en Carrera 69 F 19 A 05, durante la vigencia 2021 participó en el proyecto de Sostenibilidad energética.</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00"/>
              <w:gridCol w:w="2787"/>
              <w:gridCol w:w="2781"/>
              <w:tblGridChange w:id="0">
                <w:tblGrid>
                  <w:gridCol w:w="2700"/>
                  <w:gridCol w:w="2787"/>
                  <w:gridCol w:w="278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PROLACTEOS </w:t>
                  </w:r>
                  <w:r w:rsidDel="00000000" w:rsidR="00000000" w:rsidRPr="00000000">
                    <w:rPr>
                      <w:rFonts w:ascii="Arial" w:cs="Arial" w:eastAsia="Arial" w:hAnsi="Arial"/>
                      <w:sz w:val="22"/>
                      <w:szCs w:val="22"/>
                      <w:rtl w:val="0"/>
                    </w:rPr>
                    <w:t xml:space="preserve">J.R S.A.S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FUENTES NO CONVENCIONALES DE ENERGÍA RENOVABLES</w:t>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2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8"/>
              <w:gridCol w:w="2047"/>
              <w:gridCol w:w="3213"/>
              <w:tblGridChange w:id="0">
                <w:tblGrid>
                  <w:gridCol w:w="3008"/>
                  <w:gridCol w:w="2047"/>
                  <w:gridCol w:w="321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y socialización de este, vía reunión virtual.</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 </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5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609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4"/>
              <w:gridCol w:w="1378"/>
              <w:gridCol w:w="4906"/>
              <w:tblGridChange w:id="0">
                <w:tblGrid>
                  <w:gridCol w:w="1984"/>
                  <w:gridCol w:w="1378"/>
                  <w:gridCol w:w="490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rHeight w:val="110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w:t>
                  </w:r>
                  <w:r w:rsidDel="00000000" w:rsidR="00000000" w:rsidRPr="00000000">
                    <w:rPr>
                      <w:rFonts w:ascii="Arial" w:cs="Arial" w:eastAsia="Arial" w:hAnsi="Arial"/>
                      <w:sz w:val="22"/>
                      <w:szCs w:val="22"/>
                      <w:rtl w:val="0"/>
                    </w:rPr>
                    <w:t xml:space="preserve">profesional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Ruben Camero Parra, asistió al 90 %  de  mesas de trabajo, cumpliendo con el requisito de asistencia para respectiva certificación.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entrega la caracterización energética completa y dentro del tiempo establecido de acuerdo a las herramientas y </w:t>
                  </w:r>
                  <w:r w:rsidDel="00000000" w:rsidR="00000000" w:rsidRPr="00000000">
                    <w:rPr>
                      <w:rFonts w:ascii="Arial" w:cs="Arial" w:eastAsia="Arial" w:hAnsi="Arial"/>
                      <w:sz w:val="22"/>
                      <w:szCs w:val="22"/>
                      <w:rtl w:val="0"/>
                    </w:rPr>
                    <w:t xml:space="preserve">parámetros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solicitados. Los resultados son interpretados de manera apropiada de acuerdo a los productos obtenidos, sin embargo se debe ajustar el censo de equipos con el fin de optimizar el diagrama de Pareto de la organización.</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30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segundo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22 puntos de los 25 posibles. La revisión del documento denominado "Formato 1 de formulación de proyecto" permitió identificar oportunidades de mejora, que para efectos del presente informe se presentarán a continuación:</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Avanzar en la implementación del proyecto en la medida de los posible.</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Recordar que los ahorros energéticos en los proyectos de generación son igual a  la cantidad de energía generada por el proyecto </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variables </w:t>
                  </w:r>
                  <w:r w:rsidDel="00000000" w:rsidR="00000000" w:rsidRPr="00000000">
                    <w:rPr>
                      <w:rFonts w:ascii="Arial" w:cs="Arial" w:eastAsia="Arial" w:hAnsi="Arial"/>
                      <w:sz w:val="22"/>
                      <w:szCs w:val="22"/>
                      <w:rtl w:val="0"/>
                    </w:rPr>
                    <w:t xml:space="preserve">estandarizadas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 proyecto como área, tecnología y gestión de </w:t>
                  </w:r>
                  <w:r w:rsidDel="00000000" w:rsidR="00000000" w:rsidRPr="00000000">
                    <w:rPr>
                      <w:rFonts w:ascii="Arial" w:cs="Arial" w:eastAsia="Arial" w:hAnsi="Arial"/>
                      <w:sz w:val="22"/>
                      <w:szCs w:val="22"/>
                      <w:rtl w:val="0"/>
                    </w:rPr>
                    <w:t xml:space="preserve">trámites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 permitirá tener cotizaciones sobre un proyecto del mismo tamaño. Se recomienda revisar otros proveedores del mercado y  realizar  la respectiva evaluación.</w:t>
                  </w:r>
                </w:p>
              </w:tc>
            </w:tr>
            <w:tr>
              <w:trPr>
                <w:cantSplit w:val="0"/>
                <w:trHeight w:val="11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organización obtuvo 17 de los 25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No se identifica avance en la formulación del proyecto por falta de recursos ; se cuenta con indicadores establecidos de acuerdo al proyecto dimensionado en el primer entregable; finalmente, no se evidencian avances en el cumplimiento del cronograma del segundo entregable, debido a que este se encuentra plasmado para el 2023.</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participa en la sesión,  presentando  su proyecto de forma coherente y dando cumplimiento a los lineamientos establecidos.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87</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Proyecto trabajado en la vigencia Pro – RedES 2021</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27"/>
              <w:gridCol w:w="5785"/>
              <w:tblGridChange w:id="0">
                <w:tblGrid>
                  <w:gridCol w:w="2427"/>
                  <w:gridCol w:w="5785"/>
                </w:tblGrid>
              </w:tblGridChange>
            </w:tblGrid>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10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Sistema de Generación Solar a partir de paneles fotovoltaicos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Sistema de Generación Solar a partir de paneles fotovoltaicos.</w:t>
                  </w:r>
                </w:p>
              </w:tc>
            </w:tr>
          </w:tbl>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12"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9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2"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w:t>
            </w:r>
            <w:r w:rsidDel="00000000" w:rsidR="00000000" w:rsidRPr="00000000">
              <w:rPr>
                <w:rFonts w:ascii="Arial" w:cs="Arial" w:eastAsia="Arial" w:hAnsi="Arial"/>
                <w:sz w:val="22"/>
                <w:szCs w:val="22"/>
                <w:rtl w:val="0"/>
              </w:rPr>
              <w:t xml:space="preserve">progresa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la interpretación de  sus consumos energéticos con base en el total de las herramientas de caracterización energética trabajadas y presentó avances en la formulación de un proyecto de generación de energía a partir de tecnología  solar fotovoltaica. Se recomienda avanzar en la evaluación </w:t>
            </w:r>
            <w:r w:rsidDel="00000000" w:rsidR="00000000" w:rsidRPr="00000000">
              <w:rPr>
                <w:rFonts w:ascii="Arial" w:cs="Arial" w:eastAsia="Arial" w:hAnsi="Arial"/>
                <w:sz w:val="22"/>
                <w:szCs w:val="22"/>
                <w:rtl w:val="0"/>
              </w:rPr>
              <w:t xml:space="preserve">técnico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-financiera del proyecto de acuerdo a las </w:t>
            </w:r>
            <w:r w:rsidDel="00000000" w:rsidR="00000000" w:rsidRPr="00000000">
              <w:rPr>
                <w:rFonts w:ascii="Arial" w:cs="Arial" w:eastAsia="Arial" w:hAnsi="Arial"/>
                <w:sz w:val="22"/>
                <w:szCs w:val="22"/>
                <w:rtl w:val="0"/>
              </w:rPr>
              <w:t xml:space="preserve">características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la organización y  profundizar en la formulación de los  beneficios energéticos,  económicos y ambientales como indicadores del proyecto cuándo se encuentre en fase de operación.</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fortalecer  el  envío a tiempo de la información asociada a los resultados de la implementación del proyecto al interior de su organización y la claridad en los datos reportados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 y evaluación.</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r>
    </w:tbl>
    <w:p w:rsidR="00000000" w:rsidDel="00000000" w:rsidP="00000000" w:rsidRDefault="00000000" w:rsidRPr="00000000" w14:paraId="000000A8">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4VR6QiXJGdzcmshUVn7LzCsPP4A==">AMUW2mW+EZ8uMbNc7/CvsFCm3YMP3EpewTVU9hVhJ4C0w9A6QXJ14z+Yw4R1OxzdrR/yCZe/UOvXtS8STIFlsUPk69cmDA6vXS4NaiopMHLteZgYcipnCBs=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2021-11-26T14:15:00Z</dcterms:created>
  <dc:creator>Jorge Manrique</dc:creator>
</cp:coreProperties>
</file>